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13,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Hall Solon Springs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Posting of notices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the </w:t>
      </w:r>
      <w:r w:rsidDel="00000000" w:rsidR="00000000" w:rsidRPr="00000000">
        <w:rPr>
          <w:rtl w:val="0"/>
        </w:rPr>
        <w:t xml:space="preserve">May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Regular Board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</w:t>
      </w:r>
      <w:r w:rsidDel="00000000" w:rsidR="00000000" w:rsidRPr="00000000">
        <w:rPr>
          <w:rtl w:val="0"/>
        </w:rPr>
        <w:t xml:space="preserve">May 2026.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pay bills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Individuals to approach the Board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Cemetery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Building Permits/Zoning-N/A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Road Report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Lake Effect compromise-see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Possible sign for public landing at Lake of the Woods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BOR training for new board members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Barking dog complaints-kennel on Jersett Rd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Mick Salmen, Clerk</w:t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Town of Solon Springs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u9eaLH5VoIyW6DZ+mc1l3F+o0g==">CgMxLjA4AHIhMUhvbXNhc2FNeERic0ZiZWpHQ3djY2F2QzhyYnFQUTgz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